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4FA0269" w:rsidR="00D6147A" w:rsidRDefault="001A5772" w:rsidP="001A5772">
      <w:hyperlink r:id="rId6" w:history="1">
        <w:r w:rsidRPr="00410B9F">
          <w:rPr>
            <w:rStyle w:val="Collegamentoipertestuale"/>
          </w:rPr>
          <w:t>https://finanza.lastampa.it/News/2025/02/15/caroni-bcc-iccrea-da-green-bond-riscontro-che-lavoro-fatto-e-molto-apprezzato/MjdfMjAyNS0wMi0xNV9UTEI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5772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1890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caroni-bcc-iccrea-da-green-bond-riscontro-che-lavoro-fatto-e-molto-apprezzato/Mjd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2025-02-18T14:37:00Z</dcterms:created>
  <dcterms:modified xsi:type="dcterms:W3CDTF">2025-02-18T14:55:00Z</dcterms:modified>
</cp:coreProperties>
</file>